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C" w:rsidRDefault="00B4408C" w:rsidP="00E542C5">
      <w:pPr>
        <w:pStyle w:val="1"/>
        <w:spacing w:line="240" w:lineRule="auto"/>
        <w:rPr>
          <w:rFonts w:ascii="Arial" w:hAnsi="Arial" w:cs="Arial"/>
          <w:b/>
          <w:sz w:val="32"/>
          <w:szCs w:val="32"/>
        </w:rPr>
      </w:pPr>
      <w:r>
        <w:rPr>
          <w:rFonts w:ascii="Arial" w:hAnsi="Arial" w:cs="Arial"/>
          <w:b/>
          <w:sz w:val="32"/>
          <w:szCs w:val="32"/>
        </w:rPr>
        <w:t>09.09.2020г.№44-П</w:t>
      </w:r>
    </w:p>
    <w:p w:rsidR="00B4408C" w:rsidRPr="00033F92" w:rsidRDefault="00B4408C" w:rsidP="00E542C5">
      <w:pPr>
        <w:pStyle w:val="1"/>
        <w:spacing w:line="240" w:lineRule="auto"/>
        <w:rPr>
          <w:rFonts w:ascii="Arial" w:hAnsi="Arial" w:cs="Arial"/>
          <w:b/>
          <w:sz w:val="32"/>
          <w:szCs w:val="32"/>
        </w:rPr>
      </w:pPr>
      <w:r w:rsidRPr="00033F92">
        <w:rPr>
          <w:rFonts w:ascii="Arial" w:hAnsi="Arial" w:cs="Arial"/>
          <w:b/>
          <w:sz w:val="32"/>
          <w:szCs w:val="32"/>
        </w:rPr>
        <w:t>РОССИЙСКАЯ ФЕДЕРАЦИЯ</w:t>
      </w:r>
    </w:p>
    <w:p w:rsidR="00B4408C" w:rsidRDefault="00B4408C" w:rsidP="00E542C5">
      <w:pPr>
        <w:pStyle w:val="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B4408C" w:rsidRPr="00E72650" w:rsidRDefault="00B4408C"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B4408C" w:rsidRPr="00033F92" w:rsidRDefault="00B4408C" w:rsidP="00E542C5">
      <w:pPr>
        <w:pStyle w:val="10"/>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«ЗАБИТУЙ</w:t>
      </w:r>
      <w:r w:rsidRPr="00033F92">
        <w:rPr>
          <w:rFonts w:ascii="Arial" w:hAnsi="Arial" w:cs="Arial"/>
          <w:b/>
          <w:spacing w:val="20"/>
          <w:sz w:val="32"/>
          <w:szCs w:val="32"/>
        </w:rPr>
        <w:t>»</w:t>
      </w:r>
    </w:p>
    <w:p w:rsidR="00B4408C" w:rsidRPr="00033F92" w:rsidRDefault="00B4408C" w:rsidP="00E542C5">
      <w:pPr>
        <w:pStyle w:val="10"/>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B4408C" w:rsidRDefault="00B4408C" w:rsidP="00E542C5">
      <w:pPr>
        <w:pStyle w:val="10"/>
        <w:jc w:val="center"/>
        <w:rPr>
          <w:rFonts w:ascii="Arial" w:hAnsi="Arial" w:cs="Arial"/>
          <w:b/>
          <w:spacing w:val="20"/>
          <w:sz w:val="32"/>
          <w:szCs w:val="32"/>
        </w:rPr>
      </w:pPr>
      <w:r w:rsidRPr="00033F92">
        <w:rPr>
          <w:rFonts w:ascii="Arial" w:hAnsi="Arial" w:cs="Arial"/>
          <w:b/>
          <w:spacing w:val="20"/>
          <w:sz w:val="32"/>
          <w:szCs w:val="32"/>
        </w:rPr>
        <w:t>ПОСТАНОВЛЕНИЕ</w:t>
      </w:r>
    </w:p>
    <w:p w:rsidR="00B4408C" w:rsidRDefault="00B4408C" w:rsidP="00E542C5">
      <w:pPr>
        <w:pStyle w:val="10"/>
        <w:tabs>
          <w:tab w:val="clear" w:pos="4153"/>
          <w:tab w:val="center" w:pos="7513"/>
        </w:tabs>
        <w:rPr>
          <w:spacing w:val="20"/>
          <w:sz w:val="24"/>
          <w:szCs w:val="24"/>
        </w:rPr>
      </w:pPr>
    </w:p>
    <w:p w:rsidR="00B4408C" w:rsidRPr="00033F92" w:rsidRDefault="00B4408C" w:rsidP="00FE3AC5">
      <w:pPr>
        <w:spacing w:after="0" w:line="240" w:lineRule="auto"/>
        <w:jc w:val="center"/>
        <w:rPr>
          <w:rFonts w:ascii="Arial" w:hAnsi="Arial" w:cs="Arial"/>
          <w:b/>
          <w:sz w:val="32"/>
          <w:szCs w:val="32"/>
        </w:rPr>
      </w:pPr>
      <w:r w:rsidRPr="00033F92">
        <w:rPr>
          <w:rFonts w:ascii="Arial" w:hAnsi="Arial" w:cs="Arial"/>
          <w:b/>
          <w:sz w:val="32"/>
          <w:szCs w:val="32"/>
        </w:rPr>
        <w:t>О</w:t>
      </w:r>
      <w:r>
        <w:rPr>
          <w:rFonts w:ascii="Arial" w:hAnsi="Arial" w:cs="Arial"/>
          <w:b/>
          <w:sz w:val="32"/>
          <w:szCs w:val="32"/>
        </w:rPr>
        <w:t>Б УТВЕРЖДЕНИИ АДМИНИСТРАТИВНОГО РЕГЛАМЕНТА ПО ПРЕДОСТАВЛЕНИЮ МУНИЦИПАЛЬНОЙ УСЛУГИ «</w:t>
      </w:r>
      <w:r w:rsidRPr="00033F92">
        <w:rPr>
          <w:rFonts w:ascii="Arial" w:hAnsi="Arial" w:cs="Arial"/>
          <w:b/>
          <w:sz w:val="32"/>
          <w:szCs w:val="32"/>
        </w:rPr>
        <w:t>П</w:t>
      </w:r>
      <w:r>
        <w:rPr>
          <w:rFonts w:ascii="Arial" w:hAnsi="Arial" w:cs="Arial"/>
          <w:b/>
          <w:sz w:val="32"/>
          <w:szCs w:val="3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«Забитуй» </w:t>
      </w:r>
      <w:r w:rsidRPr="00E542C5">
        <w:rPr>
          <w:rFonts w:ascii="Arial" w:hAnsi="Arial" w:cs="Arial"/>
          <w:kern w:val="2"/>
          <w:sz w:val="24"/>
          <w:szCs w:val="24"/>
        </w:rPr>
        <w:t xml:space="preserve">от </w:t>
      </w:r>
      <w:r>
        <w:rPr>
          <w:rFonts w:ascii="Arial" w:hAnsi="Arial" w:cs="Arial"/>
          <w:kern w:val="2"/>
          <w:sz w:val="24"/>
          <w:szCs w:val="24"/>
        </w:rPr>
        <w:t>27.10.2011г.</w:t>
      </w:r>
      <w:r w:rsidRPr="00E542C5">
        <w:rPr>
          <w:rFonts w:ascii="Arial" w:hAnsi="Arial" w:cs="Arial"/>
          <w:kern w:val="2"/>
          <w:sz w:val="24"/>
          <w:szCs w:val="24"/>
        </w:rPr>
        <w:t xml:space="preserve"> №</w:t>
      </w:r>
      <w:r>
        <w:rPr>
          <w:rFonts w:ascii="Arial" w:hAnsi="Arial" w:cs="Arial"/>
          <w:kern w:val="2"/>
          <w:sz w:val="24"/>
          <w:szCs w:val="24"/>
        </w:rPr>
        <w:t>33-П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«Забитуй»,</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Pr="001E7B22" w:rsidRDefault="00B4408C"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B4408C" w:rsidRPr="00E542C5" w:rsidRDefault="00B4408C"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администрации МО «Забитуй» от 02.04.2020г.№19-П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B4408C" w:rsidRPr="001E7B22" w:rsidRDefault="00B4408C"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408C" w:rsidRPr="00E542C5" w:rsidRDefault="00B4408C"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Pr="00E542C5" w:rsidRDefault="00B4408C" w:rsidP="001E7B22">
      <w:pPr>
        <w:autoSpaceDE w:val="0"/>
        <w:autoSpaceDN w:val="0"/>
        <w:adjustRightInd w:val="0"/>
        <w:spacing w:after="0" w:line="240" w:lineRule="auto"/>
        <w:jc w:val="both"/>
        <w:rPr>
          <w:rFonts w:ascii="Arial" w:hAnsi="Arial" w:cs="Arial"/>
          <w:kern w:val="2"/>
          <w:sz w:val="24"/>
          <w:szCs w:val="24"/>
        </w:rPr>
      </w:pPr>
    </w:p>
    <w:p w:rsidR="00B4408C" w:rsidRPr="001E7B22"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УТВЕРЖДЕН</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 xml:space="preserve">постановлением </w:t>
      </w:r>
      <w:r w:rsidRPr="001E7B22">
        <w:rPr>
          <w:rFonts w:ascii="Courier New" w:hAnsi="Courier New" w:cs="Courier New"/>
          <w:bCs/>
          <w:kern w:val="2"/>
        </w:rPr>
        <w:t xml:space="preserve">администрации муниципального образования «Забитуй» </w:t>
      </w:r>
      <w:r w:rsidRPr="001E7B22">
        <w:rPr>
          <w:rFonts w:ascii="Courier New" w:hAnsi="Courier New" w:cs="Courier New"/>
          <w:kern w:val="2"/>
          <w:lang w:eastAsia="ru-RU"/>
        </w:rPr>
        <w:t xml:space="preserve">от </w:t>
      </w:r>
      <w:r>
        <w:rPr>
          <w:rFonts w:ascii="Courier New" w:hAnsi="Courier New" w:cs="Courier New"/>
          <w:kern w:val="2"/>
          <w:lang w:eastAsia="ru-RU"/>
        </w:rPr>
        <w:t>09.09.2020г.№44-П</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p>
    <w:p w:rsidR="00B4408C" w:rsidRDefault="00B4408C" w:rsidP="00CA6D2E">
      <w:pPr>
        <w:autoSpaceDE w:val="0"/>
        <w:autoSpaceDN w:val="0"/>
        <w:spacing w:after="0" w:line="240" w:lineRule="auto"/>
        <w:jc w:val="right"/>
        <w:rPr>
          <w:rFonts w:ascii="Courier New" w:hAnsi="Courier New" w:cs="Courier New"/>
          <w:kern w:val="2"/>
          <w:lang w:eastAsia="ru-RU"/>
        </w:rPr>
      </w:pP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АДМИНИСТРАТИВНЫЙ РЕГЛАМЕНТ</w:t>
      </w: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59558A">
      <w:pPr>
        <w:autoSpaceDE w:val="0"/>
        <w:autoSpaceDN w:val="0"/>
        <w:spacing w:after="0" w:line="240" w:lineRule="auto"/>
        <w:jc w:val="both"/>
        <w:rPr>
          <w:rFonts w:ascii="Times New Roman" w:hAnsi="Times New Roman"/>
          <w:kern w:val="2"/>
          <w:sz w:val="28"/>
          <w:szCs w:val="28"/>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B4408C" w:rsidRPr="0059558A" w:rsidRDefault="00B4408C" w:rsidP="0059558A">
      <w:pPr>
        <w:autoSpaceDE w:val="0"/>
        <w:autoSpaceDN w:val="0"/>
        <w:spacing w:after="0" w:line="240" w:lineRule="auto"/>
        <w:jc w:val="both"/>
        <w:rPr>
          <w:rFonts w:ascii="Arial" w:hAnsi="Arial" w:cs="Arial"/>
          <w:kern w:val="2"/>
          <w:sz w:val="24"/>
          <w:szCs w:val="24"/>
          <w:lang w:eastAsia="ru-RU"/>
        </w:rPr>
      </w:pPr>
    </w:p>
    <w:p w:rsidR="00B4408C" w:rsidRPr="0059558A" w:rsidRDefault="00B4408C"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 xml:space="preserve">порядок взаимодействия администрации муниципального образования «Забитуй»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«Забитуй»</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B4408C" w:rsidRDefault="00B4408C"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408C"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B4408C" w:rsidRPr="007E5E3D"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408C" w:rsidRDefault="00B4408C"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4408C"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7E5E3D">
      <w:pPr>
        <w:spacing w:after="0" w:line="240" w:lineRule="auto"/>
        <w:ind w:firstLine="540"/>
        <w:jc w:val="both"/>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B4408C" w:rsidRPr="00D76AC6"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r w:rsidRPr="00D76AC6">
        <w:rPr>
          <w:rFonts w:ascii="Arial" w:hAnsi="Arial" w:cs="Arial"/>
          <w:kern w:val="2"/>
          <w:sz w:val="24"/>
          <w:szCs w:val="24"/>
          <w:lang w:val="en-US" w:eastAsia="ru-RU"/>
        </w:rPr>
        <w:t>http</w:t>
      </w:r>
      <w:r w:rsidRPr="00D76AC6">
        <w:rPr>
          <w:rFonts w:ascii="Arial" w:hAnsi="Arial" w:cs="Arial"/>
          <w:kern w:val="2"/>
          <w:sz w:val="24"/>
          <w:szCs w:val="24"/>
          <w:lang w:eastAsia="ru-RU"/>
        </w:rPr>
        <w:t xml:space="preserve">://забитуй.рф/,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по электронной почте администрации </w:t>
      </w:r>
      <w:r w:rsidRPr="00D76AC6">
        <w:rPr>
          <w:rFonts w:ascii="Arial" w:hAnsi="Arial" w:cs="Arial"/>
          <w:kern w:val="2"/>
          <w:sz w:val="24"/>
          <w:szCs w:val="24"/>
          <w:lang w:val="en-US" w:eastAsia="ru-RU"/>
        </w:rPr>
        <w:t>zabitui</w:t>
      </w:r>
      <w:r w:rsidRPr="00D76AC6">
        <w:rPr>
          <w:rFonts w:ascii="Arial" w:hAnsi="Arial" w:cs="Arial"/>
          <w:kern w:val="2"/>
          <w:sz w:val="24"/>
          <w:szCs w:val="24"/>
          <w:lang w:eastAsia="ru-RU"/>
        </w:rPr>
        <w:t>2016@</w:t>
      </w:r>
      <w:r w:rsidRPr="00D76AC6">
        <w:rPr>
          <w:rFonts w:ascii="Arial" w:hAnsi="Arial" w:cs="Arial"/>
          <w:kern w:val="2"/>
          <w:sz w:val="24"/>
          <w:szCs w:val="24"/>
          <w:lang w:val="en-US" w:eastAsia="ru-RU"/>
        </w:rPr>
        <w:t>yandex</w:t>
      </w:r>
      <w:r w:rsidRPr="00D76AC6">
        <w:rPr>
          <w:rFonts w:ascii="Arial" w:hAnsi="Arial" w:cs="Arial"/>
          <w:kern w:val="2"/>
          <w:sz w:val="24"/>
          <w:szCs w:val="24"/>
          <w:lang w:eastAsia="ru-RU"/>
        </w:rPr>
        <w:t>.</w:t>
      </w:r>
      <w:r w:rsidRPr="00D76AC6">
        <w:rPr>
          <w:rFonts w:ascii="Arial" w:hAnsi="Arial" w:cs="Arial"/>
          <w:kern w:val="2"/>
          <w:sz w:val="24"/>
          <w:szCs w:val="24"/>
          <w:lang w:val="en-US" w:eastAsia="ru-RU"/>
        </w:rPr>
        <w:t>ru</w:t>
      </w:r>
      <w:r w:rsidRPr="00D76AC6">
        <w:rPr>
          <w:rFonts w:ascii="Arial" w:hAnsi="Arial" w:cs="Arial"/>
          <w:kern w:val="2"/>
          <w:sz w:val="24"/>
          <w:szCs w:val="24"/>
          <w:lang w:eastAsia="ru-RU"/>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1) актуальность;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2) своевременность;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4) полнота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B4408C" w:rsidRPr="00D76AC6" w:rsidRDefault="00B4408C"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408C" w:rsidRPr="00D76AC6" w:rsidRDefault="00B4408C"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408C" w:rsidRPr="00D76AC6" w:rsidRDefault="00B4408C" w:rsidP="004C5289">
      <w:pPr>
        <w:pStyle w:val="ConsPlusNormal"/>
        <w:widowControl/>
        <w:ind w:firstLine="709"/>
        <w:jc w:val="both"/>
        <w:rPr>
          <w:kern w:val="2"/>
          <w:sz w:val="24"/>
          <w:szCs w:val="24"/>
        </w:rPr>
      </w:pPr>
      <w:r w:rsidRPr="00D76AC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408C" w:rsidRPr="00D76AC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B4408C" w:rsidRPr="00D76AC6" w:rsidRDefault="00B4408C"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на официальном сайте администрации;</w:t>
      </w:r>
    </w:p>
    <w:p w:rsidR="00B4408C" w:rsidRPr="00D76AC6" w:rsidRDefault="00B4408C"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 муниципального образования «Забитуй».</w:t>
      </w:r>
    </w:p>
    <w:p w:rsidR="00B4408C" w:rsidRPr="00375748" w:rsidRDefault="00B4408C"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4408C" w:rsidRPr="00375748" w:rsidRDefault="00B4408C"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B4408C"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«Забитуй»</w:t>
      </w:r>
      <w:r w:rsidRPr="00375748">
        <w:rPr>
          <w:rFonts w:ascii="Arial" w:hAnsi="Arial" w:cs="Arial"/>
          <w:i/>
          <w:kern w:val="2"/>
          <w:sz w:val="24"/>
          <w:szCs w:val="24"/>
          <w:lang w:eastAsia="ru-RU"/>
        </w:rPr>
        <w:t xml:space="preserve"> </w:t>
      </w:r>
      <w:r w:rsidRPr="00375748">
        <w:rPr>
          <w:rFonts w:ascii="Arial" w:hAnsi="Arial" w:cs="Arial"/>
          <w:kern w:val="2"/>
          <w:sz w:val="24"/>
          <w:szCs w:val="24"/>
        </w:rPr>
        <w:t>от 27.10.2011г. №33-П,</w:t>
      </w:r>
    </w:p>
    <w:p w:rsidR="00B4408C"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заключении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692787">
      <w:pPr>
        <w:spacing w:after="0" w:line="240" w:lineRule="auto"/>
        <w:ind w:firstLine="539"/>
        <w:jc w:val="both"/>
        <w:rPr>
          <w:rFonts w:ascii="Arial" w:hAnsi="Arial" w:cs="Arial"/>
          <w:kern w:val="2"/>
          <w:sz w:val="24"/>
          <w:szCs w:val="24"/>
        </w:rPr>
      </w:pPr>
      <w:r w:rsidRPr="00375748">
        <w:rPr>
          <w:rFonts w:ascii="Arial" w:hAnsi="Arial" w:cs="Arial"/>
          <w:kern w:val="2"/>
          <w:sz w:val="24"/>
          <w:szCs w:val="24"/>
          <w:lang w:eastAsia="ru-RU"/>
        </w:rPr>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перераспределении земельных участков в соответствии с формой, предусмотренной Приложением №1 к настоящему административному регламенту.</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408C" w:rsidRPr="00F47D3F" w:rsidRDefault="00B4408C" w:rsidP="00D70901">
      <w:pPr>
        <w:spacing w:after="0" w:line="240" w:lineRule="auto"/>
        <w:ind w:firstLine="539"/>
        <w:jc w:val="both"/>
        <w:rPr>
          <w:rFonts w:ascii="Arial" w:hAnsi="Arial" w:cs="Arial"/>
          <w:kern w:val="2"/>
          <w:sz w:val="24"/>
          <w:szCs w:val="24"/>
        </w:rPr>
      </w:pPr>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
    <w:p w:rsidR="00B4408C" w:rsidRPr="00F47D3F" w:rsidRDefault="00B4408C" w:rsidP="006B744F">
      <w:pPr>
        <w:spacing w:after="0" w:line="240" w:lineRule="auto"/>
        <w:ind w:firstLine="539"/>
        <w:jc w:val="both"/>
        <w:rPr>
          <w:rFonts w:ascii="Arial" w:hAnsi="Arial" w:cs="Arial"/>
          <w:kern w:val="2"/>
          <w:sz w:val="24"/>
          <w:szCs w:val="24"/>
        </w:rPr>
      </w:pPr>
      <w:r w:rsidRPr="00F47D3F">
        <w:rPr>
          <w:rFonts w:ascii="Arial" w:hAnsi="Arial" w:cs="Arial"/>
          <w:kern w:val="2"/>
          <w:sz w:val="24"/>
          <w:szCs w:val="24"/>
        </w:rPr>
        <w:t xml:space="preserve">28. 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B4408C" w:rsidRPr="00F47D3F" w:rsidRDefault="00B4408C" w:rsidP="0047019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5) через МФЦ</w:t>
      </w:r>
      <w:r w:rsidRPr="00F47D3F">
        <w:rPr>
          <w:rStyle w:val="FootnoteReference"/>
          <w:rFonts w:ascii="Arial" w:hAnsi="Arial" w:cs="Arial"/>
          <w:kern w:val="2"/>
          <w:sz w:val="24"/>
          <w:szCs w:val="24"/>
        </w:rPr>
        <w:footnoteReference w:id="1"/>
      </w:r>
      <w:r w:rsidRPr="00F47D3F">
        <w:rPr>
          <w:rFonts w:ascii="Arial" w:hAnsi="Arial" w:cs="Arial"/>
          <w:kern w:val="2"/>
          <w:sz w:val="24"/>
          <w:szCs w:val="24"/>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4) документы не должны быть исполнены карандашом;</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выписка из ЕГРН на земельный участок, находящейся в частной собственности;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выписка из ЕГРН на земельный участок, находящейся в муниципальной собственности;</w:t>
      </w:r>
    </w:p>
    <w:p w:rsidR="00B4408C" w:rsidRPr="00F47D3F" w:rsidRDefault="00B4408C"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08C" w:rsidRPr="00F47D3F" w:rsidRDefault="00B4408C" w:rsidP="00B177B7">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sidRPr="00085AB2">
        <w:rPr>
          <w:rFonts w:ascii="Arial"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«Забитуй»</w:t>
      </w:r>
      <w:r w:rsidRPr="00085AB2">
        <w:rPr>
          <w:rFonts w:ascii="Arial" w:hAnsi="Arial" w:cs="Arial"/>
          <w:i/>
          <w:kern w:val="2"/>
          <w:sz w:val="24"/>
          <w:szCs w:val="24"/>
          <w:lang w:eastAsia="ru-RU"/>
        </w:rPr>
        <w:t xml:space="preserve"> </w:t>
      </w:r>
      <w:r w:rsidRPr="00085AB2">
        <w:rPr>
          <w:rFonts w:ascii="Arial" w:hAnsi="Arial" w:cs="Arial"/>
          <w:kern w:val="2"/>
          <w:sz w:val="24"/>
          <w:szCs w:val="24"/>
          <w:lang w:eastAsia="ru-RU"/>
        </w:rPr>
        <w:t xml:space="preserve">от 27.01.2012г.№2/111-дмо, </w:t>
      </w:r>
    </w:p>
    <w:p w:rsidR="00B4408C" w:rsidRPr="00085AB2" w:rsidRDefault="00B4408C" w:rsidP="00F17A30">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 w:name="Par277"/>
      <w:bookmarkEnd w:id="1"/>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2" w:name="Par285"/>
      <w:bookmarkEnd w:id="2"/>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присвоения указанным документам входящего номера с указанием даты получения.</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408C" w:rsidRPr="00085AB2"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408C" w:rsidRDefault="00B4408C" w:rsidP="00085AB2">
      <w:pPr>
        <w:autoSpaceDE w:val="0"/>
        <w:autoSpaceDN w:val="0"/>
        <w:adjustRightInd w:val="0"/>
        <w:spacing w:after="0" w:line="240" w:lineRule="auto"/>
        <w:ind w:firstLine="709"/>
        <w:jc w:val="both"/>
        <w:rPr>
          <w:rFonts w:ascii="Times New Roman" w:hAnsi="Times New Roman"/>
          <w:kern w:val="2"/>
          <w:sz w:val="28"/>
          <w:szCs w:val="28"/>
        </w:rPr>
      </w:pP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Глава 18. Требования к помещениям, в которых предоставляется муниципальная услуга</w:t>
      </w: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«Забитуй», меры для обеспечения доступа инвалидов к месту предоставления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85282">
        <w:rPr>
          <w:rFonts w:ascii="Arial" w:hAnsi="Arial" w:cs="Arial"/>
          <w:kern w:val="2"/>
          <w:sz w:val="24"/>
          <w:szCs w:val="24"/>
          <w:lang w:val="en-US" w:eastAsia="ru-RU"/>
        </w:rPr>
        <w:t>pdf</w:t>
      </w:r>
      <w:r w:rsidRPr="00685282">
        <w:rPr>
          <w:rFonts w:ascii="Arial" w:hAnsi="Arial" w:cs="Arial"/>
          <w:kern w:val="2"/>
          <w:sz w:val="24"/>
          <w:szCs w:val="24"/>
          <w:lang w:eastAsia="ru-RU"/>
        </w:rPr>
        <w:t xml:space="preserve">, </w:t>
      </w:r>
      <w:r w:rsidRPr="00685282">
        <w:rPr>
          <w:rFonts w:ascii="Arial" w:hAnsi="Arial" w:cs="Arial"/>
          <w:kern w:val="2"/>
          <w:sz w:val="24"/>
          <w:szCs w:val="24"/>
          <w:lang w:val="en-US" w:eastAsia="ru-RU"/>
        </w:rPr>
        <w:t>tif</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прием и регистрация</w:t>
      </w:r>
      <w:r w:rsidRPr="00685282">
        <w:rPr>
          <w:rFonts w:ascii="Arial" w:hAnsi="Arial" w:cs="Arial"/>
          <w:sz w:val="24"/>
          <w:szCs w:val="24"/>
          <w:vertAlign w:val="superscript"/>
          <w:lang w:eastAsia="ru-RU"/>
        </w:rPr>
        <w:footnoteReference w:id="2"/>
      </w:r>
      <w:r w:rsidRPr="00685282">
        <w:rPr>
          <w:rFonts w:ascii="Arial" w:hAnsi="Arial" w:cs="Arial"/>
          <w:kern w:val="2"/>
          <w:sz w:val="24"/>
          <w:szCs w:val="24"/>
          <w:lang w:eastAsia="ru-RU"/>
        </w:rPr>
        <w:t xml:space="preserve">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r w:rsidRPr="00685282">
        <w:rPr>
          <w:rStyle w:val="FootnoteReference"/>
          <w:rFonts w:ascii="Arial" w:hAnsi="Arial" w:cs="Arial"/>
          <w:kern w:val="2"/>
          <w:sz w:val="24"/>
          <w:szCs w:val="24"/>
          <w:lang w:eastAsia="ru-RU"/>
        </w:rPr>
        <w:footnoteReference w:id="3"/>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4" w:name="Par355"/>
      <w:bookmarkEnd w:id="4"/>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B4408C" w:rsidRPr="00685282" w:rsidRDefault="00B4408C"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685282">
        <w:rPr>
          <w:rStyle w:val="FootnoteReference"/>
          <w:rFonts w:ascii="Arial" w:hAnsi="Arial" w:cs="Arial"/>
          <w:kern w:val="2"/>
          <w:sz w:val="24"/>
          <w:szCs w:val="24"/>
          <w:lang w:eastAsia="ru-RU"/>
        </w:rPr>
        <w:footnoteReference w:id="4"/>
      </w:r>
      <w:r w:rsidRPr="00685282">
        <w:rPr>
          <w:rFonts w:ascii="Arial" w:hAnsi="Arial" w:cs="Arial"/>
          <w:kern w:val="2"/>
          <w:sz w:val="24"/>
          <w:szCs w:val="24"/>
          <w:lang w:eastAsia="ru-RU"/>
        </w:rPr>
        <w:t>, либо при личном обращении заявителя или его представителя в администрацию.</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80.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B4408C" w:rsidRPr="00685282" w:rsidRDefault="00B4408C"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81. 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журнале исходящей корреспонденции.</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 формирует и направляет межведомственные запросы:</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408C" w:rsidRPr="00685282" w:rsidRDefault="00B4408C"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B4408C" w:rsidRPr="00610426" w:rsidRDefault="00B4408C"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B4408C" w:rsidRPr="00610426"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о принятии заявления к рассмотрению или письменное уведомление о возврате заявления и приложенных к нему документов.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99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заключении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B4408C" w:rsidRPr="00610426" w:rsidRDefault="00B4408C"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заключении соглашения:</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104. По </w:t>
      </w:r>
      <w:r w:rsidRPr="00610426">
        <w:rPr>
          <w:rFonts w:ascii="Arial" w:hAnsi="Arial" w:cs="Arial"/>
          <w:sz w:val="24"/>
          <w:szCs w:val="24"/>
          <w:lang w:eastAsia="ru-RU"/>
        </w:rPr>
        <w:t>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получении в журнале получения исходящих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108. Результатом административной процедуры является один из документов, предусмотренных пунктом 105 настоящего административного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610426">
        <w:rPr>
          <w:rFonts w:ascii="Arial" w:hAnsi="Arial" w:cs="Arial"/>
          <w:kern w:val="2"/>
          <w:sz w:val="24"/>
          <w:szCs w:val="24"/>
        </w:rPr>
        <w:t>.</w:t>
      </w:r>
      <w:bookmarkEnd w:id="5"/>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111. 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113. По результатам осуществления действий,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B4408C" w:rsidRPr="00ED485B" w:rsidRDefault="00B4408C" w:rsidP="004C5289">
      <w:pPr>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заявитель или его представитель расписывается в их получении в журнале выдачи исходящих 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исходящей корреспонденции отметки о направлении </w:t>
      </w:r>
      <w:r w:rsidRPr="00ED485B">
        <w:rPr>
          <w:rFonts w:ascii="Arial" w:hAnsi="Arial" w:cs="Arial"/>
          <w:i/>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заявителю или его представителю или МФЦ, или о получении указанного документа лично заявителем или его представителем.</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 xml:space="preserve">:/забитуй.рф/, </w:t>
      </w:r>
      <w:r w:rsidRPr="00ED485B">
        <w:rPr>
          <w:rFonts w:ascii="Arial" w:hAnsi="Arial" w:cs="Arial"/>
          <w:kern w:val="2"/>
          <w:sz w:val="24"/>
          <w:szCs w:val="24"/>
          <w:lang w:eastAsia="ru-RU"/>
        </w:rPr>
        <w:t>по электронной почте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 по общим вопросам предоставления государственных и муниципальных услуг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3) о ходе рассмотрения запроса о предоставлении муниципальной услуги;</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заявление об исправлении технической ошибки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134.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140. В случае принятия решения, указанного в подпункте 1 пункта 138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B4408C" w:rsidRPr="00ED485B" w:rsidRDefault="00B4408C"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146. 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РАЗДЕЛ IV. ФОРМЫ КОНТРОЛЯ ЗА ПРЕДОСТАВЛЕНИЕМ МУНИЦИПАЛЬНОЙ УСЛУГИ</w:t>
      </w:r>
      <w:bookmarkStart w:id="6" w:name="Par413"/>
      <w:bookmarkEnd w:id="6"/>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152. Контроль за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408C"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r w:rsidRPr="00351EB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157.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на Портале;</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B4408C" w:rsidRDefault="00B4408C" w:rsidP="003260B4">
      <w:pPr>
        <w:autoSpaceDE w:val="0"/>
        <w:autoSpaceDN w:val="0"/>
        <w:adjustRightInd w:val="0"/>
        <w:spacing w:after="0" w:line="240" w:lineRule="auto"/>
        <w:ind w:firstLine="54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4408C" w:rsidRPr="00351EB6" w:rsidRDefault="00B4408C" w:rsidP="004C5289">
      <w:pPr>
        <w:autoSpaceDE w:val="0"/>
        <w:autoSpaceDN w:val="0"/>
        <w:adjustRightInd w:val="0"/>
        <w:spacing w:after="0" w:line="240" w:lineRule="auto"/>
        <w:ind w:firstLine="709"/>
        <w:jc w:val="both"/>
        <w:rPr>
          <w:rFonts w:ascii="Arial" w:hAnsi="Arial" w:cs="Arial"/>
          <w:i/>
          <w:color w:val="FF0000"/>
          <w:kern w:val="2"/>
          <w:sz w:val="24"/>
          <w:szCs w:val="24"/>
        </w:rPr>
      </w:pPr>
      <w:r w:rsidRPr="00351EB6">
        <w:rPr>
          <w:rFonts w:ascii="Arial" w:hAnsi="Arial" w:cs="Arial"/>
          <w:color w:val="FF0000"/>
          <w:kern w:val="2"/>
          <w:sz w:val="24"/>
          <w:szCs w:val="24"/>
        </w:rPr>
        <w:t xml:space="preserve">2) ______________________ </w:t>
      </w:r>
      <w:r w:rsidRPr="00351EB6">
        <w:rPr>
          <w:rFonts w:ascii="Arial" w:hAnsi="Arial" w:cs="Arial"/>
          <w:i/>
          <w:color w:val="FF0000"/>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B4408C" w:rsidRPr="00351EB6" w:rsidRDefault="00B4408C" w:rsidP="004C5289">
      <w:pPr>
        <w:autoSpaceDE w:val="0"/>
        <w:autoSpaceDN w:val="0"/>
        <w:adjustRightInd w:val="0"/>
        <w:spacing w:after="0" w:line="240" w:lineRule="auto"/>
        <w:ind w:firstLine="709"/>
        <w:jc w:val="both"/>
        <w:rPr>
          <w:rFonts w:ascii="Times New Roman" w:hAnsi="Times New Roman"/>
          <w:color w:val="FF0000"/>
          <w:kern w:val="2"/>
          <w:sz w:val="28"/>
          <w:szCs w:val="28"/>
        </w:rPr>
      </w:pPr>
      <w:r w:rsidRPr="00351EB6">
        <w:rPr>
          <w:rFonts w:ascii="Arial" w:hAnsi="Arial" w:cs="Arial"/>
          <w:color w:val="FF0000"/>
          <w:kern w:val="2"/>
          <w:sz w:val="24"/>
          <w:szCs w:val="24"/>
        </w:rPr>
        <w:t>170. Информация, содержащаяся в настоящем разделе, подлежит размещению на Портале</w:t>
      </w:r>
      <w:r w:rsidRPr="00351EB6">
        <w:rPr>
          <w:rFonts w:ascii="Times New Roman" w:hAnsi="Times New Roman"/>
          <w:color w:val="FF0000"/>
          <w:kern w:val="2"/>
          <w:sz w:val="28"/>
          <w:szCs w:val="28"/>
        </w:rPr>
        <w:t>.</w:t>
      </w: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1</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FootnoteReference"/>
                <w:rFonts w:ascii="Arial" w:hAnsi="Arial" w:cs="Arial"/>
                <w:bCs/>
                <w:i/>
                <w:kern w:val="2"/>
                <w:sz w:val="24"/>
                <w:szCs w:val="24"/>
                <w:lang w:eastAsia="ru-RU"/>
              </w:rPr>
              <w:footnoteReference w:id="5"/>
            </w:r>
          </w:p>
        </w:tc>
      </w:tr>
    </w:tbl>
    <w:p w:rsidR="00B4408C" w:rsidRPr="00335BB9" w:rsidRDefault="00B4408C" w:rsidP="004C5289">
      <w:pPr>
        <w:spacing w:after="0" w:line="240" w:lineRule="auto"/>
        <w:jc w:val="both"/>
        <w:rPr>
          <w:rFonts w:ascii="Times New Roman" w:hAnsi="Times New Roman"/>
          <w:b/>
          <w:bCs/>
          <w:kern w:val="2"/>
          <w:sz w:val="26"/>
          <w:szCs w:val="26"/>
          <w:lang w:eastAsia="ru-RU"/>
        </w:rPr>
      </w:pPr>
    </w:p>
    <w:p w:rsidR="00B4408C" w:rsidRPr="00351EB6" w:rsidRDefault="00B4408C"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B4408C" w:rsidRPr="00351EB6" w:rsidRDefault="00B4408C" w:rsidP="002B2075">
      <w:pPr>
        <w:spacing w:after="0" w:line="240" w:lineRule="auto"/>
        <w:ind w:firstLine="709"/>
        <w:jc w:val="both"/>
        <w:rPr>
          <w:rFonts w:ascii="Arial" w:hAnsi="Arial" w:cs="Arial"/>
          <w:kern w:val="2"/>
          <w:sz w:val="24"/>
          <w:szCs w:val="24"/>
          <w:lang w:eastAsia="ru-RU"/>
        </w:rPr>
      </w:pPr>
    </w:p>
    <w:p w:rsidR="00B4408C" w:rsidRPr="00351EB6" w:rsidRDefault="00B4408C"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B4408C" w:rsidRPr="00351EB6" w:rsidRDefault="00B4408C" w:rsidP="00C8701F">
      <w:pPr>
        <w:spacing w:after="0" w:line="240" w:lineRule="auto"/>
        <w:ind w:firstLine="709"/>
        <w:contextualSpacing/>
        <w:jc w:val="both"/>
        <w:rPr>
          <w:rFonts w:ascii="Arial" w:hAnsi="Arial" w:cs="Arial"/>
          <w:sz w:val="20"/>
          <w:szCs w:val="20"/>
        </w:rPr>
      </w:pPr>
    </w:p>
    <w:p w:rsidR="00B4408C" w:rsidRPr="00351EB6" w:rsidRDefault="00B4408C"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B4408C" w:rsidRPr="00351EB6" w:rsidRDefault="00B4408C" w:rsidP="004C5289">
      <w:pPr>
        <w:spacing w:after="0" w:line="240" w:lineRule="auto"/>
        <w:ind w:right="-142"/>
        <w:jc w:val="both"/>
        <w:rPr>
          <w:rFonts w:ascii="Arial" w:hAnsi="Arial" w:cs="Arial"/>
          <w:kern w:val="2"/>
          <w:sz w:val="24"/>
          <w:szCs w:val="24"/>
          <w:lang w:eastAsia="ru-RU"/>
        </w:rPr>
      </w:pPr>
    </w:p>
    <w:p w:rsidR="00B4408C" w:rsidRPr="00351EB6" w:rsidRDefault="00B4408C"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4D1323" w:rsidTr="00560C80">
        <w:tc>
          <w:tcPr>
            <w:tcW w:w="985"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284" w:type="dxa"/>
          </w:tcPr>
          <w:p w:rsidR="00B4408C" w:rsidRPr="00335BB9" w:rsidRDefault="00B4408C"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B4408C" w:rsidRPr="00335BB9" w:rsidRDefault="00B4408C"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4408C" w:rsidRPr="004D1323" w:rsidTr="00560C80">
        <w:tc>
          <w:tcPr>
            <w:tcW w:w="314"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37"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56"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01"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г.</w:t>
            </w:r>
          </w:p>
        </w:tc>
        <w:tc>
          <w:tcPr>
            <w:tcW w:w="733" w:type="dxa"/>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B4408C" w:rsidRPr="00335BB9" w:rsidRDefault="00B4408C" w:rsidP="004C5289">
            <w:pPr>
              <w:spacing w:after="0" w:line="240" w:lineRule="auto"/>
              <w:ind w:right="-108"/>
              <w:jc w:val="both"/>
              <w:rPr>
                <w:rFonts w:ascii="Times New Roman" w:hAnsi="Times New Roman"/>
                <w:kern w:val="2"/>
                <w:sz w:val="24"/>
                <w:szCs w:val="24"/>
                <w:lang w:eastAsia="ru-RU"/>
              </w:rPr>
            </w:pPr>
          </w:p>
        </w:tc>
      </w:tr>
      <w:tr w:rsidR="00B4408C" w:rsidRPr="004D1323" w:rsidTr="00560C80">
        <w:tc>
          <w:tcPr>
            <w:tcW w:w="314"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37"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56"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01"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733"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B4408C" w:rsidRPr="00335BB9" w:rsidRDefault="00B4408C"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B4408C" w:rsidRDefault="00B4408C" w:rsidP="00281A2E">
      <w:pPr>
        <w:autoSpaceDE w:val="0"/>
        <w:autoSpaceDN w:val="0"/>
        <w:adjustRightInd w:val="0"/>
        <w:spacing w:after="0" w:line="240" w:lineRule="auto"/>
        <w:ind w:left="5103"/>
        <w:jc w:val="both"/>
        <w:rPr>
          <w:rFonts w:ascii="Times New Roman" w:hAnsi="Times New Roman"/>
          <w:kern w:val="2"/>
          <w:sz w:val="28"/>
          <w:szCs w:val="28"/>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2</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FootnoteReference"/>
                <w:rFonts w:ascii="Arial" w:hAnsi="Arial" w:cs="Arial"/>
                <w:bCs/>
                <w:i/>
                <w:kern w:val="2"/>
                <w:sz w:val="24"/>
                <w:szCs w:val="24"/>
                <w:lang w:eastAsia="ru-RU"/>
              </w:rPr>
              <w:footnoteReference w:id="6"/>
            </w:r>
          </w:p>
        </w:tc>
      </w:tr>
    </w:tbl>
    <w:p w:rsidR="00B4408C" w:rsidRPr="00335BB9" w:rsidRDefault="00B4408C" w:rsidP="00281A2E">
      <w:pPr>
        <w:spacing w:after="0" w:line="240" w:lineRule="auto"/>
        <w:jc w:val="center"/>
        <w:rPr>
          <w:rFonts w:ascii="Times New Roman" w:hAnsi="Times New Roman"/>
          <w:b/>
          <w:bCs/>
          <w:kern w:val="2"/>
          <w:sz w:val="24"/>
          <w:szCs w:val="24"/>
          <w:lang w:eastAsia="ru-RU"/>
        </w:rPr>
      </w:pPr>
    </w:p>
    <w:p w:rsidR="00B4408C" w:rsidRPr="00351EB6" w:rsidRDefault="00B4408C"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B4408C" w:rsidRPr="00351EB6" w:rsidRDefault="00B4408C" w:rsidP="00281A2E">
      <w:pPr>
        <w:spacing w:after="0" w:line="240" w:lineRule="auto"/>
        <w:jc w:val="center"/>
        <w:rPr>
          <w:rFonts w:ascii="Arial" w:hAnsi="Arial" w:cs="Arial"/>
          <w:b/>
          <w:bCs/>
          <w:kern w:val="2"/>
          <w:sz w:val="24"/>
          <w:szCs w:val="24"/>
          <w:lang w:eastAsia="ru-RU"/>
        </w:rPr>
      </w:pPr>
    </w:p>
    <w:p w:rsidR="00B4408C" w:rsidRPr="00351EB6" w:rsidRDefault="00B4408C" w:rsidP="00281A2E">
      <w:pPr>
        <w:spacing w:after="0" w:line="240" w:lineRule="auto"/>
        <w:ind w:firstLine="540"/>
        <w:jc w:val="both"/>
        <w:rPr>
          <w:rFonts w:ascii="Arial" w:hAnsi="Arial" w:cs="Arial"/>
          <w:sz w:val="24"/>
          <w:szCs w:val="24"/>
        </w:rPr>
      </w:pPr>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
    <w:p w:rsidR="00B4408C" w:rsidRPr="00351EB6" w:rsidRDefault="00B4408C" w:rsidP="000C6808">
      <w:pPr>
        <w:pStyle w:val="NormalWeb"/>
        <w:spacing w:before="0" w:beforeAutospacing="0" w:after="0" w:afterAutospacing="0"/>
        <w:ind w:firstLine="540"/>
        <w:rPr>
          <w:rFonts w:ascii="Arial" w:hAnsi="Arial" w:cs="Arial"/>
          <w:lang w:eastAsia="en-US"/>
        </w:rPr>
      </w:pPr>
      <w:r w:rsidRPr="00351EB6">
        <w:rPr>
          <w:rFonts w:ascii="Arial" w:hAnsi="Arial" w:cs="Arial"/>
          <w:lang w:eastAsia="en-US"/>
        </w:rPr>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B4408C" w:rsidRPr="00351EB6" w:rsidRDefault="00B4408C" w:rsidP="000C6808">
      <w:pPr>
        <w:pStyle w:val="NormalWeb"/>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B4408C" w:rsidRPr="00351EB6" w:rsidRDefault="00B4408C" w:rsidP="003E01B9">
      <w:pPr>
        <w:pStyle w:val="NormalWeb"/>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B4408C" w:rsidRPr="00351EB6" w:rsidRDefault="00B4408C" w:rsidP="003E01B9">
      <w:pPr>
        <w:pStyle w:val="NormalWeb"/>
        <w:spacing w:before="0" w:beforeAutospacing="0" w:after="0" w:afterAutospacing="0"/>
        <w:rPr>
          <w:rFonts w:ascii="Arial" w:hAnsi="Arial" w:cs="Arial"/>
          <w:color w:val="000000"/>
        </w:rPr>
      </w:pPr>
    </w:p>
    <w:p w:rsidR="00B4408C" w:rsidRPr="00351EB6" w:rsidRDefault="00B4408C" w:rsidP="003E01B9">
      <w:pPr>
        <w:pStyle w:val="NormalWeb"/>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B4408C" w:rsidRPr="003E01B9" w:rsidRDefault="00B4408C" w:rsidP="003E01B9">
      <w:pPr>
        <w:pStyle w:val="NormalWeb"/>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B4408C" w:rsidRPr="003E01B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8C" w:rsidRDefault="00B4408C" w:rsidP="00766253">
      <w:pPr>
        <w:spacing w:after="0" w:line="240" w:lineRule="auto"/>
      </w:pPr>
      <w:r>
        <w:separator/>
      </w:r>
    </w:p>
  </w:endnote>
  <w:endnote w:type="continuationSeparator" w:id="0">
    <w:p w:rsidR="00B4408C" w:rsidRDefault="00B4408C"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8C" w:rsidRDefault="00B4408C" w:rsidP="00766253">
      <w:pPr>
        <w:spacing w:after="0" w:line="240" w:lineRule="auto"/>
      </w:pPr>
      <w:r>
        <w:separator/>
      </w:r>
    </w:p>
  </w:footnote>
  <w:footnote w:type="continuationSeparator" w:id="0">
    <w:p w:rsidR="00B4408C" w:rsidRDefault="00B4408C" w:rsidP="00766253">
      <w:pPr>
        <w:spacing w:after="0" w:line="240" w:lineRule="auto"/>
      </w:pPr>
      <w:r>
        <w:continuationSeparator/>
      </w:r>
    </w:p>
  </w:footnote>
  <w:footnote w:id="1">
    <w:p w:rsidR="00B4408C" w:rsidRDefault="00B4408C" w:rsidP="00F47D3F">
      <w:pPr>
        <w:pStyle w:val="FootnoteText"/>
        <w:ind w:firstLine="0"/>
      </w:pPr>
    </w:p>
  </w:footnote>
  <w:footnote w:id="2">
    <w:p w:rsidR="00B4408C" w:rsidRDefault="00B4408C" w:rsidP="003143EF">
      <w:pPr>
        <w:pStyle w:val="FootnoteText"/>
        <w:ind w:firstLine="0"/>
      </w:pPr>
    </w:p>
  </w:footnote>
  <w:footnote w:id="3">
    <w:p w:rsidR="00B4408C" w:rsidRDefault="00B4408C" w:rsidP="003143EF">
      <w:pPr>
        <w:pStyle w:val="FootnoteText"/>
        <w:ind w:firstLine="0"/>
      </w:pPr>
    </w:p>
  </w:footnote>
  <w:footnote w:id="4">
    <w:p w:rsidR="00B4408C" w:rsidRDefault="00B4408C" w:rsidP="003143EF">
      <w:pPr>
        <w:pStyle w:val="FootnoteText"/>
        <w:ind w:firstLine="0"/>
      </w:pPr>
    </w:p>
  </w:footnote>
  <w:footnote w:id="5">
    <w:p w:rsidR="00B4408C" w:rsidRPr="00310DCA" w:rsidRDefault="00B4408C">
      <w:pPr>
        <w:pStyle w:val="FootnoteText"/>
        <w:rPr>
          <w:rFonts w:ascii="Times New Roman" w:hAnsi="Times New Roman"/>
          <w:sz w:val="22"/>
          <w:szCs w:val="22"/>
        </w:rPr>
      </w:pPr>
      <w:r w:rsidRPr="00310DCA">
        <w:rPr>
          <w:rStyle w:val="FootnoteReference"/>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B4408C" w:rsidRPr="00310DCA" w:rsidRDefault="00B4408C">
      <w:pPr>
        <w:pStyle w:val="FootnoteText"/>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4408C" w:rsidRDefault="00B4408C" w:rsidP="008642D1">
      <w:pPr>
        <w:pStyle w:val="FootnoteText"/>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6">
    <w:p w:rsidR="00B4408C" w:rsidRPr="00310DCA" w:rsidRDefault="00B4408C" w:rsidP="00281A2E">
      <w:pPr>
        <w:pStyle w:val="FootnoteText"/>
        <w:rPr>
          <w:rFonts w:ascii="Times New Roman" w:hAnsi="Times New Roman"/>
          <w:sz w:val="22"/>
          <w:szCs w:val="22"/>
        </w:rPr>
      </w:pPr>
      <w:r w:rsidRPr="00310DCA">
        <w:rPr>
          <w:rStyle w:val="FootnoteReference"/>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B4408C" w:rsidRPr="00310DCA" w:rsidRDefault="00B4408C" w:rsidP="00281A2E">
      <w:pPr>
        <w:pStyle w:val="FootnoteText"/>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4408C" w:rsidRDefault="00B4408C" w:rsidP="00281A2E">
      <w:pPr>
        <w:pStyle w:val="FootnoteText"/>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BEB"/>
    <w:rsid w:val="000A1EED"/>
    <w:rsid w:val="000B1158"/>
    <w:rsid w:val="000B3724"/>
    <w:rsid w:val="000B4E3F"/>
    <w:rsid w:val="000B61D8"/>
    <w:rsid w:val="000C0907"/>
    <w:rsid w:val="000C16BB"/>
    <w:rsid w:val="000C220C"/>
    <w:rsid w:val="000C3A96"/>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79B4"/>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6970"/>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847"/>
    <w:rsid w:val="00281A2E"/>
    <w:rsid w:val="00281BAC"/>
    <w:rsid w:val="00286245"/>
    <w:rsid w:val="00287585"/>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BA0"/>
    <w:rsid w:val="00384706"/>
    <w:rsid w:val="00391F17"/>
    <w:rsid w:val="0039481A"/>
    <w:rsid w:val="00396A61"/>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3877"/>
    <w:rsid w:val="004C498B"/>
    <w:rsid w:val="004C5289"/>
    <w:rsid w:val="004C68D1"/>
    <w:rsid w:val="004D1323"/>
    <w:rsid w:val="004D252E"/>
    <w:rsid w:val="004D30C1"/>
    <w:rsid w:val="004D3768"/>
    <w:rsid w:val="004D3E81"/>
    <w:rsid w:val="004D5250"/>
    <w:rsid w:val="004D7DD1"/>
    <w:rsid w:val="004E1FD6"/>
    <w:rsid w:val="004E375E"/>
    <w:rsid w:val="004E4B39"/>
    <w:rsid w:val="004E6077"/>
    <w:rsid w:val="004E7655"/>
    <w:rsid w:val="004E7F1E"/>
    <w:rsid w:val="004F426D"/>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D47"/>
    <w:rsid w:val="00A3091E"/>
    <w:rsid w:val="00A31E88"/>
    <w:rsid w:val="00A347D3"/>
    <w:rsid w:val="00A3678B"/>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98C"/>
    <w:rsid w:val="00CA4E0A"/>
    <w:rsid w:val="00CA56B7"/>
    <w:rsid w:val="00CA6D2E"/>
    <w:rsid w:val="00CB06C1"/>
    <w:rsid w:val="00CB22FC"/>
    <w:rsid w:val="00CB4772"/>
    <w:rsid w:val="00CB638E"/>
    <w:rsid w:val="00CC0C9E"/>
    <w:rsid w:val="00CC1A27"/>
    <w:rsid w:val="00CC2E23"/>
    <w:rsid w:val="00CC73B3"/>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A0032"/>
    <w:rsid w:val="00EA07C7"/>
    <w:rsid w:val="00EA1B8F"/>
    <w:rsid w:val="00EA2BC2"/>
    <w:rsid w:val="00EA2C71"/>
    <w:rsid w:val="00EA372E"/>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76B8"/>
    <w:rsid w:val="00F35D17"/>
    <w:rsid w:val="00F36542"/>
    <w:rsid w:val="00F41440"/>
    <w:rsid w:val="00F47D3F"/>
    <w:rsid w:val="00F61AD9"/>
    <w:rsid w:val="00F63903"/>
    <w:rsid w:val="00F73EE0"/>
    <w:rsid w:val="00F81501"/>
    <w:rsid w:val="00F836F8"/>
    <w:rsid w:val="00F84D2F"/>
    <w:rsid w:val="00F868BA"/>
    <w:rsid w:val="00F90078"/>
    <w:rsid w:val="00F915AD"/>
    <w:rsid w:val="00F92EE9"/>
    <w:rsid w:val="00F95019"/>
    <w:rsid w:val="00F96A88"/>
    <w:rsid w:val="00FA2B2C"/>
    <w:rsid w:val="00FA2BCF"/>
    <w:rsid w:val="00FA366B"/>
    <w:rsid w:val="00FA5F7F"/>
    <w:rsid w:val="00FA7CE8"/>
    <w:rsid w:val="00FB24FC"/>
    <w:rsid w:val="00FB327E"/>
    <w:rsid w:val="00FB550D"/>
    <w:rsid w:val="00FC411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42"/>
    <w:pPr>
      <w:spacing w:after="200" w:line="276" w:lineRule="auto"/>
    </w:pPr>
    <w:rPr>
      <w:lang w:eastAsia="en-US"/>
    </w:rPr>
  </w:style>
  <w:style w:type="paragraph" w:styleId="Heading1">
    <w:name w:val="heading 1"/>
    <w:basedOn w:val="Normal"/>
    <w:next w:val="Normal"/>
    <w:link w:val="Heading1Char"/>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FootnoteTextChar">
    <w:name w:val="Footnote Text Char"/>
    <w:basedOn w:val="DefaultParagraphFont"/>
    <w:link w:val="FootnoteText"/>
    <w:uiPriority w:val="99"/>
    <w:locked/>
    <w:rsid w:val="00766253"/>
    <w:rPr>
      <w:rFonts w:ascii="Tms Rmn" w:hAnsi="Tms Rmn" w:cs="Times New Roman"/>
      <w:sz w:val="20"/>
      <w:szCs w:val="20"/>
      <w:lang w:eastAsia="ru-RU"/>
    </w:rPr>
  </w:style>
  <w:style w:type="character" w:styleId="FootnoteReference">
    <w:name w:val="footnote reference"/>
    <w:basedOn w:val="DefaultParagraphFont"/>
    <w:uiPriority w:val="99"/>
    <w:semiHidden/>
    <w:rsid w:val="00766253"/>
    <w:rPr>
      <w:rFonts w:cs="Times New Roman"/>
      <w:vertAlign w:val="superscript"/>
    </w:rPr>
  </w:style>
  <w:style w:type="paragraph" w:styleId="BalloonText">
    <w:name w:val="Balloon Text"/>
    <w:basedOn w:val="Normal"/>
    <w:link w:val="BalloonTextChar"/>
    <w:uiPriority w:val="99"/>
    <w:semiHidden/>
    <w:rsid w:val="0042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84D"/>
    <w:rPr>
      <w:rFonts w:ascii="Tahoma" w:hAnsi="Tahoma" w:cs="Tahoma"/>
      <w:sz w:val="16"/>
      <w:szCs w:val="16"/>
    </w:rPr>
  </w:style>
  <w:style w:type="table" w:styleId="TableGrid">
    <w:name w:val="Table Grid"/>
    <w:basedOn w:val="TableNormal"/>
    <w:uiPriority w:val="99"/>
    <w:rsid w:val="009D29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815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1501"/>
    <w:rPr>
      <w:rFonts w:cs="Times New Roman"/>
    </w:rPr>
  </w:style>
  <w:style w:type="paragraph" w:styleId="Footer">
    <w:name w:val="footer"/>
    <w:basedOn w:val="Normal"/>
    <w:link w:val="FooterChar"/>
    <w:uiPriority w:val="99"/>
    <w:rsid w:val="00F815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1501"/>
    <w:rPr>
      <w:rFonts w:cs="Times New Roman"/>
    </w:rPr>
  </w:style>
  <w:style w:type="paragraph" w:styleId="ListParagraph">
    <w:name w:val="List Paragraph"/>
    <w:basedOn w:val="Normal"/>
    <w:uiPriority w:val="99"/>
    <w:qFormat/>
    <w:rsid w:val="00657CEA"/>
    <w:pPr>
      <w:ind w:left="720"/>
      <w:contextualSpacing/>
    </w:pPr>
  </w:style>
  <w:style w:type="paragraph" w:styleId="NormalWeb">
    <w:name w:val="Normal (Web)"/>
    <w:basedOn w:val="Normal"/>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0">
    <w:name w:val="Верхний колонтитул1"/>
    <w:basedOn w:val="Normal"/>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60634526">
      <w:marLeft w:val="0"/>
      <w:marRight w:val="0"/>
      <w:marTop w:val="0"/>
      <w:marBottom w:val="0"/>
      <w:divBdr>
        <w:top w:val="none" w:sz="0" w:space="0" w:color="auto"/>
        <w:left w:val="none" w:sz="0" w:space="0" w:color="auto"/>
        <w:bottom w:val="none" w:sz="0" w:space="0" w:color="auto"/>
        <w:right w:val="none" w:sz="0" w:space="0" w:color="auto"/>
      </w:divBdr>
    </w:div>
    <w:div w:id="1760634527">
      <w:marLeft w:val="0"/>
      <w:marRight w:val="0"/>
      <w:marTop w:val="0"/>
      <w:marBottom w:val="0"/>
      <w:divBdr>
        <w:top w:val="none" w:sz="0" w:space="0" w:color="auto"/>
        <w:left w:val="none" w:sz="0" w:space="0" w:color="auto"/>
        <w:bottom w:val="none" w:sz="0" w:space="0" w:color="auto"/>
        <w:right w:val="none" w:sz="0" w:space="0" w:color="auto"/>
      </w:divBdr>
    </w:div>
    <w:div w:id="1760634529">
      <w:marLeft w:val="0"/>
      <w:marRight w:val="0"/>
      <w:marTop w:val="0"/>
      <w:marBottom w:val="0"/>
      <w:divBdr>
        <w:top w:val="none" w:sz="0" w:space="0" w:color="auto"/>
        <w:left w:val="none" w:sz="0" w:space="0" w:color="auto"/>
        <w:bottom w:val="none" w:sz="0" w:space="0" w:color="auto"/>
        <w:right w:val="none" w:sz="0" w:space="0" w:color="auto"/>
      </w:divBdr>
    </w:div>
    <w:div w:id="1760634530">
      <w:marLeft w:val="0"/>
      <w:marRight w:val="0"/>
      <w:marTop w:val="0"/>
      <w:marBottom w:val="0"/>
      <w:divBdr>
        <w:top w:val="none" w:sz="0" w:space="0" w:color="auto"/>
        <w:left w:val="none" w:sz="0" w:space="0" w:color="auto"/>
        <w:bottom w:val="none" w:sz="0" w:space="0" w:color="auto"/>
        <w:right w:val="none" w:sz="0" w:space="0" w:color="auto"/>
      </w:divBdr>
    </w:div>
    <w:div w:id="1760634531">
      <w:marLeft w:val="0"/>
      <w:marRight w:val="0"/>
      <w:marTop w:val="0"/>
      <w:marBottom w:val="0"/>
      <w:divBdr>
        <w:top w:val="none" w:sz="0" w:space="0" w:color="auto"/>
        <w:left w:val="none" w:sz="0" w:space="0" w:color="auto"/>
        <w:bottom w:val="none" w:sz="0" w:space="0" w:color="auto"/>
        <w:right w:val="none" w:sz="0" w:space="0" w:color="auto"/>
      </w:divBdr>
    </w:div>
    <w:div w:id="1760634532">
      <w:marLeft w:val="0"/>
      <w:marRight w:val="0"/>
      <w:marTop w:val="0"/>
      <w:marBottom w:val="0"/>
      <w:divBdr>
        <w:top w:val="none" w:sz="0" w:space="0" w:color="auto"/>
        <w:left w:val="none" w:sz="0" w:space="0" w:color="auto"/>
        <w:bottom w:val="none" w:sz="0" w:space="0" w:color="auto"/>
        <w:right w:val="none" w:sz="0" w:space="0" w:color="auto"/>
      </w:divBdr>
    </w:div>
    <w:div w:id="1760634533">
      <w:marLeft w:val="0"/>
      <w:marRight w:val="0"/>
      <w:marTop w:val="0"/>
      <w:marBottom w:val="0"/>
      <w:divBdr>
        <w:top w:val="none" w:sz="0" w:space="0" w:color="auto"/>
        <w:left w:val="none" w:sz="0" w:space="0" w:color="auto"/>
        <w:bottom w:val="none" w:sz="0" w:space="0" w:color="auto"/>
        <w:right w:val="none" w:sz="0" w:space="0" w:color="auto"/>
      </w:divBdr>
    </w:div>
    <w:div w:id="1760634534">
      <w:marLeft w:val="0"/>
      <w:marRight w:val="0"/>
      <w:marTop w:val="0"/>
      <w:marBottom w:val="0"/>
      <w:divBdr>
        <w:top w:val="none" w:sz="0" w:space="0" w:color="auto"/>
        <w:left w:val="none" w:sz="0" w:space="0" w:color="auto"/>
        <w:bottom w:val="none" w:sz="0" w:space="0" w:color="auto"/>
        <w:right w:val="none" w:sz="0" w:space="0" w:color="auto"/>
      </w:divBdr>
    </w:div>
    <w:div w:id="1760634535">
      <w:marLeft w:val="0"/>
      <w:marRight w:val="0"/>
      <w:marTop w:val="0"/>
      <w:marBottom w:val="0"/>
      <w:divBdr>
        <w:top w:val="none" w:sz="0" w:space="0" w:color="auto"/>
        <w:left w:val="none" w:sz="0" w:space="0" w:color="auto"/>
        <w:bottom w:val="none" w:sz="0" w:space="0" w:color="auto"/>
        <w:right w:val="none" w:sz="0" w:space="0" w:color="auto"/>
      </w:divBdr>
    </w:div>
    <w:div w:id="1760634536">
      <w:marLeft w:val="0"/>
      <w:marRight w:val="0"/>
      <w:marTop w:val="0"/>
      <w:marBottom w:val="0"/>
      <w:divBdr>
        <w:top w:val="none" w:sz="0" w:space="0" w:color="auto"/>
        <w:left w:val="none" w:sz="0" w:space="0" w:color="auto"/>
        <w:bottom w:val="none" w:sz="0" w:space="0" w:color="auto"/>
        <w:right w:val="none" w:sz="0" w:space="0" w:color="auto"/>
      </w:divBdr>
    </w:div>
    <w:div w:id="1760634538">
      <w:marLeft w:val="0"/>
      <w:marRight w:val="0"/>
      <w:marTop w:val="0"/>
      <w:marBottom w:val="0"/>
      <w:divBdr>
        <w:top w:val="none" w:sz="0" w:space="0" w:color="auto"/>
        <w:left w:val="none" w:sz="0" w:space="0" w:color="auto"/>
        <w:bottom w:val="none" w:sz="0" w:space="0" w:color="auto"/>
        <w:right w:val="none" w:sz="0" w:space="0" w:color="auto"/>
      </w:divBdr>
    </w:div>
    <w:div w:id="1760634539">
      <w:marLeft w:val="0"/>
      <w:marRight w:val="0"/>
      <w:marTop w:val="0"/>
      <w:marBottom w:val="0"/>
      <w:divBdr>
        <w:top w:val="none" w:sz="0" w:space="0" w:color="auto"/>
        <w:left w:val="none" w:sz="0" w:space="0" w:color="auto"/>
        <w:bottom w:val="none" w:sz="0" w:space="0" w:color="auto"/>
        <w:right w:val="none" w:sz="0" w:space="0" w:color="auto"/>
      </w:divBdr>
    </w:div>
    <w:div w:id="1760634540">
      <w:marLeft w:val="0"/>
      <w:marRight w:val="0"/>
      <w:marTop w:val="0"/>
      <w:marBottom w:val="0"/>
      <w:divBdr>
        <w:top w:val="none" w:sz="0" w:space="0" w:color="auto"/>
        <w:left w:val="none" w:sz="0" w:space="0" w:color="auto"/>
        <w:bottom w:val="none" w:sz="0" w:space="0" w:color="auto"/>
        <w:right w:val="none" w:sz="0" w:space="0" w:color="auto"/>
      </w:divBdr>
    </w:div>
    <w:div w:id="1760634541">
      <w:marLeft w:val="0"/>
      <w:marRight w:val="0"/>
      <w:marTop w:val="0"/>
      <w:marBottom w:val="0"/>
      <w:divBdr>
        <w:top w:val="none" w:sz="0" w:space="0" w:color="auto"/>
        <w:left w:val="none" w:sz="0" w:space="0" w:color="auto"/>
        <w:bottom w:val="none" w:sz="0" w:space="0" w:color="auto"/>
        <w:right w:val="none" w:sz="0" w:space="0" w:color="auto"/>
      </w:divBdr>
    </w:div>
    <w:div w:id="1760634542">
      <w:marLeft w:val="0"/>
      <w:marRight w:val="0"/>
      <w:marTop w:val="0"/>
      <w:marBottom w:val="0"/>
      <w:divBdr>
        <w:top w:val="none" w:sz="0" w:space="0" w:color="auto"/>
        <w:left w:val="none" w:sz="0" w:space="0" w:color="auto"/>
        <w:bottom w:val="none" w:sz="0" w:space="0" w:color="auto"/>
        <w:right w:val="none" w:sz="0" w:space="0" w:color="auto"/>
      </w:divBdr>
    </w:div>
    <w:div w:id="1760634543">
      <w:marLeft w:val="0"/>
      <w:marRight w:val="0"/>
      <w:marTop w:val="0"/>
      <w:marBottom w:val="0"/>
      <w:divBdr>
        <w:top w:val="none" w:sz="0" w:space="0" w:color="auto"/>
        <w:left w:val="none" w:sz="0" w:space="0" w:color="auto"/>
        <w:bottom w:val="none" w:sz="0" w:space="0" w:color="auto"/>
        <w:right w:val="none" w:sz="0" w:space="0" w:color="auto"/>
      </w:divBdr>
    </w:div>
    <w:div w:id="1760634544">
      <w:marLeft w:val="0"/>
      <w:marRight w:val="0"/>
      <w:marTop w:val="0"/>
      <w:marBottom w:val="0"/>
      <w:divBdr>
        <w:top w:val="none" w:sz="0" w:space="0" w:color="auto"/>
        <w:left w:val="none" w:sz="0" w:space="0" w:color="auto"/>
        <w:bottom w:val="none" w:sz="0" w:space="0" w:color="auto"/>
        <w:right w:val="none" w:sz="0" w:space="0" w:color="auto"/>
      </w:divBdr>
    </w:div>
    <w:div w:id="1760634545">
      <w:marLeft w:val="0"/>
      <w:marRight w:val="0"/>
      <w:marTop w:val="0"/>
      <w:marBottom w:val="0"/>
      <w:divBdr>
        <w:top w:val="none" w:sz="0" w:space="0" w:color="auto"/>
        <w:left w:val="none" w:sz="0" w:space="0" w:color="auto"/>
        <w:bottom w:val="none" w:sz="0" w:space="0" w:color="auto"/>
        <w:right w:val="none" w:sz="0" w:space="0" w:color="auto"/>
      </w:divBdr>
    </w:div>
    <w:div w:id="1760634546">
      <w:marLeft w:val="0"/>
      <w:marRight w:val="0"/>
      <w:marTop w:val="0"/>
      <w:marBottom w:val="0"/>
      <w:divBdr>
        <w:top w:val="none" w:sz="0" w:space="0" w:color="auto"/>
        <w:left w:val="none" w:sz="0" w:space="0" w:color="auto"/>
        <w:bottom w:val="none" w:sz="0" w:space="0" w:color="auto"/>
        <w:right w:val="none" w:sz="0" w:space="0" w:color="auto"/>
      </w:divBdr>
      <w:divsChild>
        <w:div w:id="1760634528">
          <w:marLeft w:val="0"/>
          <w:marRight w:val="0"/>
          <w:marTop w:val="0"/>
          <w:marBottom w:val="0"/>
          <w:divBdr>
            <w:top w:val="none" w:sz="0" w:space="0" w:color="auto"/>
            <w:left w:val="none" w:sz="0" w:space="0" w:color="auto"/>
            <w:bottom w:val="none" w:sz="0" w:space="0" w:color="auto"/>
            <w:right w:val="none" w:sz="0" w:space="0" w:color="auto"/>
          </w:divBdr>
        </w:div>
      </w:divsChild>
    </w:div>
    <w:div w:id="1760634547">
      <w:marLeft w:val="0"/>
      <w:marRight w:val="0"/>
      <w:marTop w:val="0"/>
      <w:marBottom w:val="0"/>
      <w:divBdr>
        <w:top w:val="none" w:sz="0" w:space="0" w:color="auto"/>
        <w:left w:val="none" w:sz="0" w:space="0" w:color="auto"/>
        <w:bottom w:val="none" w:sz="0" w:space="0" w:color="auto"/>
        <w:right w:val="none" w:sz="0" w:space="0" w:color="auto"/>
      </w:divBdr>
    </w:div>
    <w:div w:id="1760634548">
      <w:marLeft w:val="0"/>
      <w:marRight w:val="0"/>
      <w:marTop w:val="0"/>
      <w:marBottom w:val="0"/>
      <w:divBdr>
        <w:top w:val="none" w:sz="0" w:space="0" w:color="auto"/>
        <w:left w:val="none" w:sz="0" w:space="0" w:color="auto"/>
        <w:bottom w:val="none" w:sz="0" w:space="0" w:color="auto"/>
        <w:right w:val="none" w:sz="0" w:space="0" w:color="auto"/>
      </w:divBdr>
    </w:div>
    <w:div w:id="1760634549">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sChild>
        <w:div w:id="1760634537">
          <w:marLeft w:val="0"/>
          <w:marRight w:val="0"/>
          <w:marTop w:val="0"/>
          <w:marBottom w:val="0"/>
          <w:divBdr>
            <w:top w:val="none" w:sz="0" w:space="0" w:color="auto"/>
            <w:left w:val="none" w:sz="0" w:space="0" w:color="auto"/>
            <w:bottom w:val="none" w:sz="0" w:space="0" w:color="auto"/>
            <w:right w:val="none" w:sz="0" w:space="0" w:color="auto"/>
          </w:divBdr>
        </w:div>
        <w:div w:id="1760634553">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sChild>
    </w:div>
    <w:div w:id="1760634551">
      <w:marLeft w:val="0"/>
      <w:marRight w:val="0"/>
      <w:marTop w:val="0"/>
      <w:marBottom w:val="0"/>
      <w:divBdr>
        <w:top w:val="none" w:sz="0" w:space="0" w:color="auto"/>
        <w:left w:val="none" w:sz="0" w:space="0" w:color="auto"/>
        <w:bottom w:val="none" w:sz="0" w:space="0" w:color="auto"/>
        <w:right w:val="none" w:sz="0" w:space="0" w:color="auto"/>
      </w:divBdr>
    </w:div>
    <w:div w:id="1760634552">
      <w:marLeft w:val="0"/>
      <w:marRight w:val="0"/>
      <w:marTop w:val="0"/>
      <w:marBottom w:val="0"/>
      <w:divBdr>
        <w:top w:val="none" w:sz="0" w:space="0" w:color="auto"/>
        <w:left w:val="none" w:sz="0" w:space="0" w:color="auto"/>
        <w:bottom w:val="none" w:sz="0" w:space="0" w:color="auto"/>
        <w:right w:val="none" w:sz="0" w:space="0" w:color="auto"/>
      </w:divBdr>
    </w:div>
    <w:div w:id="1760634554">
      <w:marLeft w:val="0"/>
      <w:marRight w:val="0"/>
      <w:marTop w:val="0"/>
      <w:marBottom w:val="0"/>
      <w:divBdr>
        <w:top w:val="none" w:sz="0" w:space="0" w:color="auto"/>
        <w:left w:val="none" w:sz="0" w:space="0" w:color="auto"/>
        <w:bottom w:val="none" w:sz="0" w:space="0" w:color="auto"/>
        <w:right w:val="none" w:sz="0" w:space="0" w:color="auto"/>
      </w:divBdr>
    </w:div>
    <w:div w:id="1760634556">
      <w:marLeft w:val="0"/>
      <w:marRight w:val="0"/>
      <w:marTop w:val="0"/>
      <w:marBottom w:val="0"/>
      <w:divBdr>
        <w:top w:val="none" w:sz="0" w:space="0" w:color="auto"/>
        <w:left w:val="none" w:sz="0" w:space="0" w:color="auto"/>
        <w:bottom w:val="none" w:sz="0" w:space="0" w:color="auto"/>
        <w:right w:val="none" w:sz="0" w:space="0" w:color="auto"/>
      </w:divBdr>
    </w:div>
    <w:div w:id="1760634557">
      <w:marLeft w:val="0"/>
      <w:marRight w:val="0"/>
      <w:marTop w:val="0"/>
      <w:marBottom w:val="0"/>
      <w:divBdr>
        <w:top w:val="none" w:sz="0" w:space="0" w:color="auto"/>
        <w:left w:val="none" w:sz="0" w:space="0" w:color="auto"/>
        <w:bottom w:val="none" w:sz="0" w:space="0" w:color="auto"/>
        <w:right w:val="none" w:sz="0" w:space="0" w:color="auto"/>
      </w:divBdr>
    </w:div>
    <w:div w:id="1760634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36</Pages>
  <Words>14892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пк</cp:lastModifiedBy>
  <cp:revision>9</cp:revision>
  <cp:lastPrinted>2020-09-09T07:48:00Z</cp:lastPrinted>
  <dcterms:created xsi:type="dcterms:W3CDTF">2019-03-18T02:32:00Z</dcterms:created>
  <dcterms:modified xsi:type="dcterms:W3CDTF">2020-09-09T07:53:00Z</dcterms:modified>
</cp:coreProperties>
</file>